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E7CF" w14:textId="77777777" w:rsidR="00397D8A" w:rsidRPr="00397D8A" w:rsidRDefault="00397D8A" w:rsidP="00397D8A">
      <w:pPr>
        <w:shd w:val="clear" w:color="auto" w:fill="FFFFFF"/>
        <w:spacing w:before="161" w:after="105" w:line="510" w:lineRule="atLeast"/>
        <w:outlineLvl w:val="0"/>
        <w:rPr>
          <w:rFonts w:ascii="Times New Roman" w:eastAsia="Times New Roman" w:hAnsi="Times New Roman" w:cs="Times New Roman"/>
          <w:b/>
          <w:bCs/>
          <w:color w:val="001114"/>
          <w:spacing w:val="5"/>
          <w:kern w:val="36"/>
          <w:sz w:val="48"/>
          <w:szCs w:val="48"/>
          <w:lang w:val="fr-FR" w:eastAsia="pt-BR"/>
        </w:rPr>
      </w:pPr>
      <w:r w:rsidRPr="00397D8A">
        <w:rPr>
          <w:rFonts w:ascii="Times New Roman" w:eastAsia="Times New Roman" w:hAnsi="Times New Roman" w:cs="Times New Roman"/>
          <w:b/>
          <w:bCs/>
          <w:color w:val="001114"/>
          <w:spacing w:val="5"/>
          <w:kern w:val="36"/>
          <w:sz w:val="48"/>
          <w:szCs w:val="48"/>
          <w:lang w:val="fr-FR" w:eastAsia="pt-BR"/>
        </w:rPr>
        <w:t>France confronts ‘planned obsolescence’ with repairability rating</w:t>
      </w:r>
    </w:p>
    <w:p w14:paraId="051FA4BA" w14:textId="77777777" w:rsidR="00397D8A" w:rsidRPr="00397D8A" w:rsidRDefault="00397D8A" w:rsidP="00397D8A">
      <w:pPr>
        <w:shd w:val="clear" w:color="auto" w:fill="FFFFFF"/>
        <w:spacing w:before="105" w:after="105" w:line="330" w:lineRule="atLeast"/>
        <w:rPr>
          <w:rFonts w:ascii="Freight Display Pro" w:eastAsia="Times New Roman" w:hAnsi="Freight Display Pro" w:cs="Times New Roman"/>
          <w:color w:val="00B2CC"/>
          <w:spacing w:val="5"/>
          <w:sz w:val="27"/>
          <w:szCs w:val="27"/>
          <w:lang w:val="fr-FR" w:eastAsia="pt-BR"/>
        </w:rPr>
      </w:pPr>
      <w:hyperlink r:id="rId4" w:history="1">
        <w:r w:rsidRPr="00397D8A">
          <w:rPr>
            <w:rFonts w:ascii="Freight Display Pro" w:eastAsia="Times New Roman" w:hAnsi="Freight Display Pro" w:cs="Times New Roman"/>
            <w:color w:val="0000FF"/>
            <w:spacing w:val="5"/>
            <w:sz w:val="27"/>
            <w:szCs w:val="27"/>
            <w:u w:val="single"/>
            <w:lang w:val="fr-FR" w:eastAsia="pt-BR"/>
          </w:rPr>
          <w:t>Circular Economy</w:t>
        </w:r>
      </w:hyperlink>
      <w:r w:rsidRPr="00397D8A">
        <w:rPr>
          <w:rFonts w:ascii="Freight Display Pro" w:eastAsia="Times New Roman" w:hAnsi="Freight Display Pro" w:cs="Times New Roman"/>
          <w:color w:val="00B2CC"/>
          <w:spacing w:val="5"/>
          <w:sz w:val="27"/>
          <w:szCs w:val="27"/>
          <w:lang w:val="fr-FR" w:eastAsia="pt-BR"/>
        </w:rPr>
        <w:t>, </w:t>
      </w:r>
      <w:hyperlink r:id="rId5" w:history="1">
        <w:r w:rsidRPr="00397D8A">
          <w:rPr>
            <w:rFonts w:ascii="Freight Display Pro" w:eastAsia="Times New Roman" w:hAnsi="Freight Display Pro" w:cs="Times New Roman"/>
            <w:color w:val="0000FF"/>
            <w:spacing w:val="5"/>
            <w:sz w:val="27"/>
            <w:szCs w:val="27"/>
            <w:u w:val="single"/>
            <w:lang w:val="fr-FR" w:eastAsia="pt-BR"/>
          </w:rPr>
          <w:t>Environment and Energy</w:t>
        </w:r>
      </w:hyperlink>
      <w:r w:rsidRPr="00397D8A">
        <w:rPr>
          <w:rFonts w:ascii="Freight Display Pro" w:eastAsia="Times New Roman" w:hAnsi="Freight Display Pro" w:cs="Times New Roman"/>
          <w:color w:val="00B2CC"/>
          <w:spacing w:val="5"/>
          <w:sz w:val="27"/>
          <w:szCs w:val="27"/>
          <w:lang w:val="fr-FR" w:eastAsia="pt-BR"/>
        </w:rPr>
        <w:t>, </w:t>
      </w:r>
      <w:hyperlink r:id="rId6" w:history="1">
        <w:r w:rsidRPr="00397D8A">
          <w:rPr>
            <w:rFonts w:ascii="Freight Display Pro" w:eastAsia="Times New Roman" w:hAnsi="Freight Display Pro" w:cs="Times New Roman"/>
            <w:color w:val="0000FF"/>
            <w:spacing w:val="5"/>
            <w:sz w:val="27"/>
            <w:szCs w:val="27"/>
            <w:u w:val="single"/>
            <w:lang w:val="fr-FR" w:eastAsia="pt-BR"/>
          </w:rPr>
          <w:t>Resource Management</w:t>
        </w:r>
      </w:hyperlink>
      <w:r w:rsidRPr="00397D8A">
        <w:rPr>
          <w:rFonts w:ascii="Freight Display Pro" w:eastAsia="Times New Roman" w:hAnsi="Freight Display Pro" w:cs="Times New Roman"/>
          <w:color w:val="00B2CC"/>
          <w:spacing w:val="5"/>
          <w:sz w:val="27"/>
          <w:szCs w:val="27"/>
          <w:lang w:val="fr-FR" w:eastAsia="pt-BR"/>
        </w:rPr>
        <w:t>, </w:t>
      </w:r>
      <w:hyperlink r:id="rId7" w:history="1">
        <w:r w:rsidRPr="00397D8A">
          <w:rPr>
            <w:rFonts w:ascii="Freight Display Pro" w:eastAsia="Times New Roman" w:hAnsi="Freight Display Pro" w:cs="Times New Roman"/>
            <w:color w:val="0000FF"/>
            <w:spacing w:val="5"/>
            <w:sz w:val="27"/>
            <w:szCs w:val="27"/>
            <w:u w:val="single"/>
            <w:lang w:val="fr-FR" w:eastAsia="pt-BR"/>
          </w:rPr>
          <w:t>Sustainability</w:t>
        </w:r>
      </w:hyperlink>
    </w:p>
    <w:p w14:paraId="29FF33B7" w14:textId="77777777" w:rsidR="00397D8A" w:rsidRPr="00397D8A" w:rsidRDefault="00397D8A" w:rsidP="00397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114"/>
          <w:sz w:val="24"/>
          <w:szCs w:val="24"/>
          <w:lang w:eastAsia="pt-BR"/>
        </w:rPr>
      </w:pPr>
      <w:r w:rsidRPr="00397D8A">
        <w:rPr>
          <w:rFonts w:ascii="Arial" w:eastAsia="Times New Roman" w:hAnsi="Arial" w:cs="Arial"/>
          <w:color w:val="001114"/>
          <w:sz w:val="24"/>
          <w:szCs w:val="24"/>
          <w:lang w:eastAsia="pt-BR"/>
        </w:rPr>
        <w:t xml:space="preserve">19th </w:t>
      </w:r>
      <w:proofErr w:type="spellStart"/>
      <w:r w:rsidRPr="00397D8A">
        <w:rPr>
          <w:rFonts w:ascii="Arial" w:eastAsia="Times New Roman" w:hAnsi="Arial" w:cs="Arial"/>
          <w:color w:val="001114"/>
          <w:sz w:val="24"/>
          <w:szCs w:val="24"/>
          <w:lang w:eastAsia="pt-BR"/>
        </w:rPr>
        <w:t>October</w:t>
      </w:r>
      <w:proofErr w:type="spellEnd"/>
      <w:r w:rsidRPr="00397D8A">
        <w:rPr>
          <w:rFonts w:ascii="Arial" w:eastAsia="Times New Roman" w:hAnsi="Arial" w:cs="Arial"/>
          <w:color w:val="001114"/>
          <w:sz w:val="24"/>
          <w:szCs w:val="24"/>
          <w:lang w:eastAsia="pt-BR"/>
        </w:rPr>
        <w:t xml:space="preserve"> 2020</w:t>
      </w:r>
    </w:p>
    <w:p w14:paraId="7852FC8E" w14:textId="764D2D0B" w:rsidR="00397D8A" w:rsidRDefault="00397D8A"/>
    <w:p w14:paraId="59B27EA2" w14:textId="0B980013" w:rsidR="00397D8A" w:rsidRDefault="00397D8A" w:rsidP="00397D8A">
      <w:r>
        <w:t>Tradução livre: “</w:t>
      </w:r>
      <w:r>
        <w:t>A França confronta ‘obsolescência planejada’ com classificação de capacidade de reparo</w:t>
      </w:r>
      <w:r>
        <w:t>”</w:t>
      </w:r>
    </w:p>
    <w:p w14:paraId="2FB0F873" w14:textId="77777777" w:rsidR="00397D8A" w:rsidRDefault="00397D8A" w:rsidP="00397D8A">
      <w:r>
        <w:t>Economia Circular, Meio Ambiente e Energia, Gestão de Recursos, Sustentabilidade</w:t>
      </w:r>
    </w:p>
    <w:p w14:paraId="33382753" w14:textId="77777777" w:rsidR="00397D8A" w:rsidRDefault="00397D8A" w:rsidP="00397D8A"/>
    <w:p w14:paraId="0C4962F0" w14:textId="77777777" w:rsidR="00397D8A" w:rsidRDefault="00397D8A" w:rsidP="00397D8A">
      <w:r>
        <w:t>19 de outubro de 2020</w:t>
      </w:r>
    </w:p>
    <w:p w14:paraId="7665451C" w14:textId="77777777" w:rsidR="00397D8A" w:rsidRDefault="00397D8A" w:rsidP="00397D8A"/>
    <w:p w14:paraId="26193EA8" w14:textId="77777777" w:rsidR="00397D8A" w:rsidRDefault="00397D8A" w:rsidP="00397D8A">
      <w:r>
        <w:t>O governo francês está pronto para enfrentar a questão da "obsolescência planejada" em produtos de tecnologia, introduzindo uma classificação de "durabilidade e reparabilidade".</w:t>
      </w:r>
    </w:p>
    <w:p w14:paraId="318573B2" w14:textId="77777777" w:rsidR="00397D8A" w:rsidRDefault="00397D8A" w:rsidP="00397D8A">
      <w:r>
        <w:t xml:space="preserve">Obsolescência planejada é quando os fabricantes projetam uma versão existente de um produto para se tornar "desatualizada ou inútil" dentro de um determinado </w:t>
      </w:r>
      <w:proofErr w:type="gramStart"/>
      <w:r>
        <w:t>período de tempo</w:t>
      </w:r>
      <w:proofErr w:type="gramEnd"/>
      <w:r>
        <w:t>.</w:t>
      </w:r>
    </w:p>
    <w:p w14:paraId="09A6CFB4" w14:textId="77777777" w:rsidR="00397D8A" w:rsidRDefault="00397D8A" w:rsidP="00397D8A">
      <w:r>
        <w:t>Nos círculos de tecnologia, o ciclo de substituição de smartphones tem sido historicamente de dois a três anos, já que seus componentes básicos são projetados para se desgastar ou para parar de receber atualizações de software.</w:t>
      </w:r>
    </w:p>
    <w:p w14:paraId="0A4F5DC7" w14:textId="77777777" w:rsidR="00397D8A" w:rsidRDefault="00397D8A" w:rsidP="00397D8A">
      <w:r>
        <w:t>Smartphones, televisores, máquinas de lavar e aspiradores de pó, todos são usados ​​em média por períodos mais curtos do que sua vida projetada e desejada, de acordo com um recente briefing da Agência Europeia do Meio Ambiente (EEA).</w:t>
      </w:r>
    </w:p>
    <w:p w14:paraId="5CF1C620" w14:textId="77777777" w:rsidR="00397D8A" w:rsidRDefault="00397D8A" w:rsidP="00397D8A">
      <w:r>
        <w:t>Prolongar a vida útil e atrasar a obsolescência da eletrônica pode reduzir significativamente seus impactos ambientais e climáticos e contribuir para o cumprimento dos objetivos ambientais, climáticos e de economia circular da União Europeia (UE), de acordo com a AEA.</w:t>
      </w:r>
    </w:p>
    <w:p w14:paraId="427DE89A" w14:textId="77777777" w:rsidR="00397D8A" w:rsidRDefault="00397D8A" w:rsidP="00397D8A">
      <w:r>
        <w:t>De acordo com os planos do governo francês, produtos como smartphones e eletrônicos e eletrodomésticos terão um novo adesivo em sua embalagem, indicando quanto tempo sua “vida” estimada será.</w:t>
      </w:r>
    </w:p>
    <w:p w14:paraId="0B24ED3E" w14:textId="77777777" w:rsidR="00397D8A" w:rsidRDefault="00397D8A" w:rsidP="00397D8A">
      <w:r>
        <w:t xml:space="preserve">Os adesivos identificarão a durabilidade do produto, e sua reparabilidade, em uma escala de 1 a 10, de acordo com a The </w:t>
      </w:r>
      <w:proofErr w:type="spellStart"/>
      <w:r>
        <w:t>Connexion</w:t>
      </w:r>
      <w:proofErr w:type="spellEnd"/>
      <w:r>
        <w:t>.</w:t>
      </w:r>
    </w:p>
    <w:p w14:paraId="0AF77536" w14:textId="77777777" w:rsidR="00397D8A" w:rsidRDefault="00397D8A" w:rsidP="00397D8A">
      <w:r>
        <w:t>Reparabilidade</w:t>
      </w:r>
    </w:p>
    <w:p w14:paraId="52584F17" w14:textId="77777777" w:rsidR="00397D8A" w:rsidRDefault="00397D8A" w:rsidP="00397D8A">
      <w:r>
        <w:t xml:space="preserve">A partir de 1º de janeiro, a classificação de reparos será obrigatória para smartphones, televisores, laptops, máquinas de lavar de carregamento frontal e cortadores de grama, de acordo com relatórios do The </w:t>
      </w:r>
      <w:proofErr w:type="spellStart"/>
      <w:r>
        <w:t>Sunday</w:t>
      </w:r>
      <w:proofErr w:type="spellEnd"/>
      <w:r>
        <w:t xml:space="preserve"> Times.</w:t>
      </w:r>
    </w:p>
    <w:p w14:paraId="20DF0138" w14:textId="77777777" w:rsidR="00397D8A" w:rsidRDefault="00397D8A" w:rsidP="00397D8A"/>
    <w:p w14:paraId="263E8F59" w14:textId="77777777" w:rsidR="00397D8A" w:rsidRDefault="00397D8A" w:rsidP="00397D8A">
      <w:r>
        <w:lastRenderedPageBreak/>
        <w:t xml:space="preserve">A lista será expandida e o rótulo de 'reparo' se tornará uma 'classificação de durabilidade' em 2024, disse Barbara </w:t>
      </w:r>
      <w:proofErr w:type="spellStart"/>
      <w:r>
        <w:t>Pompili</w:t>
      </w:r>
      <w:proofErr w:type="spellEnd"/>
      <w:r>
        <w:t>, a ministra do meio ambiente.</w:t>
      </w:r>
    </w:p>
    <w:p w14:paraId="3929BD0D" w14:textId="77777777" w:rsidR="00397D8A" w:rsidRDefault="00397D8A" w:rsidP="00397D8A">
      <w:r>
        <w:t>O plano também pretende criar códigos QR, permitindo aos consumidores comparar rótulos, para ver o quanto o produto em questão - incluindo seu processo de fabricação - impacta o meio ambiente.</w:t>
      </w:r>
    </w:p>
    <w:p w14:paraId="57FBFCC4" w14:textId="77777777" w:rsidR="00397D8A" w:rsidRDefault="00397D8A" w:rsidP="00397D8A">
      <w:r>
        <w:t>Paralelamente, o Governo francês também está tentando introduzir uma rede de oficinas de conserto de dispositivos eletrônicos, que ofereceria pacotes de conserto.</w:t>
      </w:r>
    </w:p>
    <w:p w14:paraId="62A2C76E" w14:textId="77777777" w:rsidR="00397D8A" w:rsidRDefault="00397D8A" w:rsidP="00397D8A">
      <w:r>
        <w:t>60% dos eletrônicos pessoais e eletrodomésticos são jogados fora ou reciclados quando quebram devido à dificuldade de consertar itens.</w:t>
      </w:r>
    </w:p>
    <w:p w14:paraId="695E10CB" w14:textId="77777777" w:rsidR="00397D8A" w:rsidRDefault="00397D8A" w:rsidP="00397D8A">
      <w:r>
        <w:t>O governo pretende reduzir esse valor para 40% dentro de três anos, como parte de seu esforço para desenvolver uma economia de consumo “circular” sobre o modelo “linear” de “levar, fazer-usar-descartar”.</w:t>
      </w:r>
    </w:p>
    <w:p w14:paraId="0821EF5A" w14:textId="77777777" w:rsidR="00397D8A" w:rsidRDefault="00397D8A" w:rsidP="00397D8A">
      <w:r>
        <w:t>Economia circular etiquetada, lixo eletrônico, tecnologia</w:t>
      </w:r>
    </w:p>
    <w:p w14:paraId="09C5F742" w14:textId="258E6A8A" w:rsidR="00397D8A" w:rsidRDefault="00397D8A" w:rsidP="00397D8A">
      <w:proofErr w:type="spellStart"/>
      <w:r>
        <w:t>Darrel</w:t>
      </w:r>
      <w:proofErr w:type="spellEnd"/>
      <w:r>
        <w:t xml:space="preserve"> Moore</w:t>
      </w:r>
    </w:p>
    <w:sectPr w:rsidR="00397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 Display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A"/>
    <w:rsid w:val="003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28CF"/>
  <w15:chartTrackingRefBased/>
  <w15:docId w15:val="{75160EE5-6052-4435-818D-34CE857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rcularonline.co.uk/category/sustainabil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rcularonline.co.uk/category/resource-management/" TargetMode="External"/><Relationship Id="rId5" Type="http://schemas.openxmlformats.org/officeDocument/2006/relationships/hyperlink" Target="https://www.circularonline.co.uk/category/environment-and-energy/" TargetMode="External"/><Relationship Id="rId4" Type="http://schemas.openxmlformats.org/officeDocument/2006/relationships/hyperlink" Target="https://www.circularonline.co.uk/category/circular-econom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leite</dc:creator>
  <cp:keywords/>
  <dc:description/>
  <cp:lastModifiedBy>paulo roberto leite</cp:lastModifiedBy>
  <cp:revision>1</cp:revision>
  <dcterms:created xsi:type="dcterms:W3CDTF">2020-10-22T00:26:00Z</dcterms:created>
  <dcterms:modified xsi:type="dcterms:W3CDTF">2020-10-22T00:31:00Z</dcterms:modified>
</cp:coreProperties>
</file>